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E9E1" w14:textId="3837D809" w:rsidR="00A44534" w:rsidRDefault="00577895" w:rsidP="004D2453">
      <w:pPr>
        <w:spacing w:line="220" w:lineRule="exact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6794B4" wp14:editId="6AEF07DE">
            <wp:simplePos x="0" y="0"/>
            <wp:positionH relativeFrom="margin">
              <wp:posOffset>-228600</wp:posOffset>
            </wp:positionH>
            <wp:positionV relativeFrom="paragraph">
              <wp:posOffset>-328295</wp:posOffset>
            </wp:positionV>
            <wp:extent cx="6055200" cy="687600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tazione circol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2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71CA7" w14:textId="47B01934" w:rsidR="00A44534" w:rsidRDefault="00A44534" w:rsidP="004D2453">
      <w:pPr>
        <w:spacing w:line="220" w:lineRule="exact"/>
        <w:rPr>
          <w:rFonts w:ascii="Verdana" w:hAnsi="Verdana"/>
          <w:sz w:val="20"/>
          <w:szCs w:val="20"/>
        </w:rPr>
      </w:pPr>
    </w:p>
    <w:p w14:paraId="49C3BCA7" w14:textId="7C0432D4" w:rsidR="00577895" w:rsidRDefault="00577895" w:rsidP="004D2453">
      <w:pPr>
        <w:spacing w:line="220" w:lineRule="exact"/>
        <w:rPr>
          <w:rFonts w:ascii="Verdana" w:hAnsi="Verdana"/>
          <w:sz w:val="20"/>
          <w:szCs w:val="20"/>
        </w:rPr>
      </w:pPr>
    </w:p>
    <w:p w14:paraId="481EEEEB" w14:textId="15E8D0C7" w:rsidR="00577895" w:rsidRDefault="00577895" w:rsidP="004D2453">
      <w:pPr>
        <w:spacing w:line="220" w:lineRule="exact"/>
        <w:rPr>
          <w:rFonts w:ascii="Verdana" w:hAnsi="Verdana"/>
          <w:sz w:val="20"/>
          <w:szCs w:val="20"/>
        </w:rPr>
      </w:pPr>
    </w:p>
    <w:p w14:paraId="1F9E1625" w14:textId="77777777" w:rsidR="00577895" w:rsidRDefault="00577895" w:rsidP="004D2453">
      <w:pPr>
        <w:spacing w:line="220" w:lineRule="exact"/>
        <w:rPr>
          <w:rFonts w:ascii="Verdana" w:hAnsi="Verdana"/>
          <w:sz w:val="20"/>
          <w:szCs w:val="20"/>
        </w:rPr>
      </w:pPr>
    </w:p>
    <w:p w14:paraId="14530A30" w14:textId="2204B61E" w:rsidR="001E5B80" w:rsidRDefault="001E5B80" w:rsidP="004D2453">
      <w:pPr>
        <w:spacing w:line="2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Roma, </w:t>
      </w:r>
      <w:r w:rsidR="00CF340E">
        <w:rPr>
          <w:rFonts w:ascii="Verdana" w:hAnsi="Verdana"/>
          <w:sz w:val="20"/>
          <w:szCs w:val="20"/>
        </w:rPr>
        <w:t>18 maggio 2021</w:t>
      </w:r>
    </w:p>
    <w:p w14:paraId="50BA8CE8" w14:textId="77777777" w:rsidR="001E5B80" w:rsidRDefault="001E5B80" w:rsidP="004D2453">
      <w:pPr>
        <w:spacing w:line="220" w:lineRule="exact"/>
        <w:rPr>
          <w:rFonts w:ascii="Verdana" w:hAnsi="Verdana"/>
          <w:sz w:val="20"/>
          <w:szCs w:val="20"/>
        </w:rPr>
      </w:pPr>
    </w:p>
    <w:p w14:paraId="1FBC8656" w14:textId="1A237B76" w:rsidR="001E5B80" w:rsidRDefault="001E5B80" w:rsidP="004D2453">
      <w:pPr>
        <w:spacing w:line="220" w:lineRule="exact"/>
        <w:rPr>
          <w:rFonts w:ascii="Verdana" w:hAnsi="Verdana"/>
          <w:b/>
          <w:sz w:val="20"/>
          <w:szCs w:val="20"/>
        </w:rPr>
      </w:pPr>
      <w:r w:rsidRPr="00863217">
        <w:rPr>
          <w:rFonts w:ascii="Verdana" w:hAnsi="Verdana"/>
          <w:b/>
          <w:sz w:val="20"/>
          <w:szCs w:val="20"/>
        </w:rPr>
        <w:t>Circolare n.</w:t>
      </w:r>
      <w:r w:rsidR="00CD4EF5">
        <w:rPr>
          <w:rFonts w:ascii="Verdana" w:hAnsi="Verdana"/>
          <w:b/>
          <w:sz w:val="20"/>
          <w:szCs w:val="20"/>
        </w:rPr>
        <w:t xml:space="preserve"> </w:t>
      </w:r>
      <w:r w:rsidR="00CF340E">
        <w:rPr>
          <w:rFonts w:ascii="Verdana" w:hAnsi="Verdana"/>
          <w:b/>
          <w:sz w:val="20"/>
          <w:szCs w:val="20"/>
        </w:rPr>
        <w:t>170/2021</w:t>
      </w:r>
    </w:p>
    <w:p w14:paraId="1E7A53DB" w14:textId="77777777" w:rsidR="001E5B80" w:rsidRDefault="001E5B80" w:rsidP="004D2453">
      <w:pPr>
        <w:spacing w:line="220" w:lineRule="exact"/>
        <w:rPr>
          <w:rFonts w:ascii="Verdana" w:hAnsi="Verdana"/>
          <w:sz w:val="20"/>
          <w:szCs w:val="20"/>
        </w:rPr>
      </w:pPr>
    </w:p>
    <w:p w14:paraId="55EFBE64" w14:textId="194A9878" w:rsidR="001E5B80" w:rsidRPr="008E7142" w:rsidRDefault="001E5B80" w:rsidP="004D2453">
      <w:pPr>
        <w:pStyle w:val="Corpodeltesto"/>
        <w:spacing w:line="220" w:lineRule="exact"/>
        <w:rPr>
          <w:rFonts w:ascii="Verdana" w:hAnsi="Verdana"/>
          <w:sz w:val="20"/>
          <w:szCs w:val="20"/>
        </w:rPr>
      </w:pPr>
      <w:r w:rsidRPr="00863217">
        <w:rPr>
          <w:rFonts w:ascii="Verdana" w:hAnsi="Verdana"/>
          <w:b/>
          <w:sz w:val="20"/>
          <w:szCs w:val="20"/>
        </w:rPr>
        <w:t>Oggetto:</w:t>
      </w:r>
      <w:bookmarkStart w:id="0" w:name="OLE_LINK1"/>
      <w:bookmarkStart w:id="1" w:name="OLE_LINK2"/>
      <w:bookmarkStart w:id="2" w:name="OLE_LINK5"/>
      <w:bookmarkStart w:id="3" w:name="OLE_LINK6"/>
      <w:bookmarkStart w:id="4" w:name="OLE_LINK3"/>
      <w:bookmarkStart w:id="5" w:name="OLE_LINK4"/>
      <w:r w:rsidR="00B03EBE">
        <w:rPr>
          <w:rFonts w:ascii="Verdana" w:hAnsi="Verdana"/>
          <w:b/>
          <w:sz w:val="20"/>
          <w:szCs w:val="20"/>
        </w:rPr>
        <w:t xml:space="preserve"> Lavoro – CCNL logistica, trasporto e spedizione – Accordo di rinnovo del </w:t>
      </w:r>
      <w:r w:rsidR="003E4CBD">
        <w:rPr>
          <w:rFonts w:ascii="Verdana" w:hAnsi="Verdana"/>
          <w:b/>
          <w:sz w:val="20"/>
          <w:szCs w:val="20"/>
        </w:rPr>
        <w:t>1</w:t>
      </w:r>
      <w:r w:rsidR="00B03EBE">
        <w:rPr>
          <w:rFonts w:ascii="Verdana" w:hAnsi="Verdana"/>
          <w:b/>
          <w:sz w:val="20"/>
          <w:szCs w:val="20"/>
        </w:rPr>
        <w:t>8 maggio 2021</w:t>
      </w:r>
      <w:r w:rsidRPr="008E7142">
        <w:rPr>
          <w:rFonts w:ascii="Verdana" w:hAnsi="Verdana"/>
          <w:b/>
          <w:sz w:val="20"/>
          <w:szCs w:val="20"/>
        </w:rPr>
        <w:t>.</w:t>
      </w:r>
      <w:bookmarkEnd w:id="0"/>
      <w:bookmarkEnd w:id="1"/>
    </w:p>
    <w:bookmarkEnd w:id="2"/>
    <w:bookmarkEnd w:id="3"/>
    <w:p w14:paraId="6967E741" w14:textId="64990736" w:rsidR="001E5B80" w:rsidRDefault="001E5B80" w:rsidP="004D2453">
      <w:pPr>
        <w:spacing w:line="220" w:lineRule="exact"/>
        <w:jc w:val="both"/>
        <w:rPr>
          <w:rFonts w:ascii="Verdana" w:hAnsi="Verdana"/>
          <w:sz w:val="20"/>
          <w:szCs w:val="20"/>
        </w:rPr>
      </w:pPr>
    </w:p>
    <w:bookmarkEnd w:id="4"/>
    <w:bookmarkEnd w:id="5"/>
    <w:p w14:paraId="6F90DD69" w14:textId="3931BE3B" w:rsidR="004D2453" w:rsidRDefault="003E4CBD" w:rsidP="002F50D0">
      <w:pPr>
        <w:spacing w:line="2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E’ </w:t>
      </w:r>
      <w:r w:rsidR="00B03EBE">
        <w:rPr>
          <w:rFonts w:ascii="Verdana" w:hAnsi="Verdana"/>
          <w:sz w:val="20"/>
          <w:szCs w:val="20"/>
        </w:rPr>
        <w:t>stato rinnovato fino al 31 marzo 202</w:t>
      </w:r>
      <w:r>
        <w:rPr>
          <w:rFonts w:ascii="Verdana" w:hAnsi="Verdana"/>
          <w:sz w:val="20"/>
          <w:szCs w:val="20"/>
        </w:rPr>
        <w:t>4</w:t>
      </w:r>
      <w:r w:rsidR="00B03EBE">
        <w:rPr>
          <w:rFonts w:ascii="Verdana" w:hAnsi="Verdana"/>
          <w:sz w:val="20"/>
          <w:szCs w:val="20"/>
        </w:rPr>
        <w:t xml:space="preserve"> </w:t>
      </w:r>
      <w:r w:rsidR="00463FA1">
        <w:rPr>
          <w:rFonts w:ascii="Verdana" w:hAnsi="Verdana"/>
          <w:sz w:val="20"/>
          <w:szCs w:val="20"/>
        </w:rPr>
        <w:t xml:space="preserve">il </w:t>
      </w:r>
      <w:r w:rsidR="00B03EBE">
        <w:rPr>
          <w:rFonts w:ascii="Verdana" w:hAnsi="Verdana"/>
          <w:sz w:val="20"/>
          <w:szCs w:val="20"/>
        </w:rPr>
        <w:t>CCNL dipendenti che era scaduto il 31 dicembre 2019. Come da prassi i sindacati si sono riservati di sciogliere entro il 15 giugno la riserva sul</w:t>
      </w:r>
      <w:r w:rsidR="00463FA1">
        <w:rPr>
          <w:rFonts w:ascii="Verdana" w:hAnsi="Verdana"/>
          <w:sz w:val="20"/>
          <w:szCs w:val="20"/>
        </w:rPr>
        <w:t>l’accordo di</w:t>
      </w:r>
      <w:r w:rsidR="00B03EBE">
        <w:rPr>
          <w:rFonts w:ascii="Verdana" w:hAnsi="Verdana"/>
          <w:sz w:val="20"/>
          <w:szCs w:val="20"/>
        </w:rPr>
        <w:t xml:space="preserve"> rinnovo a seguito della consultazione dei lavoratori.</w:t>
      </w:r>
    </w:p>
    <w:p w14:paraId="28D19E54" w14:textId="77777777" w:rsidR="00811003" w:rsidRDefault="00811003" w:rsidP="002F50D0">
      <w:pPr>
        <w:spacing w:line="220" w:lineRule="exact"/>
        <w:jc w:val="both"/>
        <w:rPr>
          <w:rFonts w:ascii="Verdana" w:hAnsi="Verdana"/>
          <w:sz w:val="20"/>
          <w:szCs w:val="20"/>
        </w:rPr>
      </w:pPr>
    </w:p>
    <w:p w14:paraId="2F647D14" w14:textId="7A4BC52A" w:rsidR="00B03EBE" w:rsidRDefault="00B03EBE" w:rsidP="002F50D0">
      <w:pPr>
        <w:spacing w:line="2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Tenuto conto della situazione emergenziale in atto il rinnovo si è concentrato sulla parte economica riconoscendo ai lavoratori un importo medio a regime di 104 euro mensili a cui va aggiunta una somma una tantum di 230 euro </w:t>
      </w:r>
      <w:r w:rsidR="00041D58">
        <w:rPr>
          <w:rFonts w:ascii="Verdana" w:hAnsi="Verdana"/>
          <w:sz w:val="20"/>
          <w:szCs w:val="20"/>
        </w:rPr>
        <w:t xml:space="preserve">uguale per tutti </w:t>
      </w:r>
      <w:r>
        <w:rPr>
          <w:rFonts w:ascii="Verdana" w:hAnsi="Verdana"/>
          <w:sz w:val="20"/>
          <w:szCs w:val="20"/>
        </w:rPr>
        <w:t xml:space="preserve">a copertura del periodo di carenza contrattuale. L’importo di </w:t>
      </w:r>
      <w:r w:rsidR="00463FA1">
        <w:rPr>
          <w:rFonts w:ascii="Verdana" w:hAnsi="Verdana"/>
          <w:sz w:val="20"/>
          <w:szCs w:val="20"/>
        </w:rPr>
        <w:t xml:space="preserve">104 euro </w:t>
      </w:r>
      <w:r>
        <w:rPr>
          <w:rFonts w:ascii="Verdana" w:hAnsi="Verdana"/>
          <w:sz w:val="20"/>
          <w:szCs w:val="20"/>
        </w:rPr>
        <w:t xml:space="preserve">sarà corrisposto in parte come aumento sui minimi contrattuali (90 euro), in parte a titolo </w:t>
      </w:r>
      <w:r w:rsidR="00E426E8">
        <w:rPr>
          <w:rFonts w:ascii="Verdana" w:hAnsi="Verdana"/>
          <w:sz w:val="20"/>
          <w:szCs w:val="20"/>
        </w:rPr>
        <w:t xml:space="preserve">di </w:t>
      </w:r>
      <w:r w:rsidRPr="00B03EBE">
        <w:rPr>
          <w:rFonts w:ascii="Verdana" w:hAnsi="Verdana"/>
          <w:i/>
          <w:sz w:val="20"/>
          <w:szCs w:val="20"/>
        </w:rPr>
        <w:t>Elemento Distinto della Retribuzione</w:t>
      </w:r>
      <w:r>
        <w:rPr>
          <w:rFonts w:ascii="Verdana" w:hAnsi="Verdana"/>
          <w:sz w:val="20"/>
          <w:szCs w:val="20"/>
        </w:rPr>
        <w:t xml:space="preserve"> o EDR (10 euro) e in parte a titolo di bilateralità (4 euro).</w:t>
      </w:r>
    </w:p>
    <w:p w14:paraId="65DE2602" w14:textId="495DEDAE" w:rsidR="00B03EBE" w:rsidRDefault="00B03EBE" w:rsidP="002F50D0">
      <w:pPr>
        <w:spacing w:line="2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Chiudono l’intesa gli Avvisi Comuni sottoscritti il 3 dicembre scorso per sollecitare </w:t>
      </w:r>
      <w:r w:rsidR="00463FA1">
        <w:rPr>
          <w:rFonts w:ascii="Verdana" w:hAnsi="Verdana"/>
          <w:sz w:val="20"/>
          <w:szCs w:val="20"/>
        </w:rPr>
        <w:t xml:space="preserve">il Governo ad intervenire </w:t>
      </w:r>
      <w:r>
        <w:rPr>
          <w:rFonts w:ascii="Verdana" w:hAnsi="Verdana"/>
          <w:sz w:val="20"/>
          <w:szCs w:val="20"/>
        </w:rPr>
        <w:t>su una serie di temi strategici per il settore (tra cui costo del lavoro, infrastrutture</w:t>
      </w:r>
      <w:r w:rsidR="00463F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 legalità) e l’impegno delle parti a lavorare fino al prossimo rinnovo </w:t>
      </w:r>
      <w:r w:rsidR="00463FA1">
        <w:rPr>
          <w:rFonts w:ascii="Verdana" w:hAnsi="Verdana"/>
          <w:sz w:val="20"/>
          <w:szCs w:val="20"/>
        </w:rPr>
        <w:t>alla modernizzazione de</w:t>
      </w:r>
      <w:r>
        <w:rPr>
          <w:rFonts w:ascii="Verdana" w:hAnsi="Verdana"/>
          <w:sz w:val="20"/>
          <w:szCs w:val="20"/>
        </w:rPr>
        <w:t>l contratto per allinearlo ai cambiamenti in atto all’interno della filiera.</w:t>
      </w:r>
    </w:p>
    <w:p w14:paraId="1DC269C6" w14:textId="309E4A7D" w:rsidR="00B03EBE" w:rsidRDefault="00B03EBE" w:rsidP="004D2453">
      <w:pPr>
        <w:spacing w:line="220" w:lineRule="exact"/>
        <w:rPr>
          <w:rFonts w:ascii="Verdana" w:hAnsi="Verdana"/>
          <w:sz w:val="20"/>
          <w:szCs w:val="20"/>
        </w:rPr>
      </w:pPr>
    </w:p>
    <w:p w14:paraId="439C5994" w14:textId="7510B939" w:rsidR="00B03EBE" w:rsidRDefault="003E4CBD" w:rsidP="004D2453">
      <w:pPr>
        <w:spacing w:line="2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 nel dettaglio i termini dell’accordo.</w:t>
      </w:r>
    </w:p>
    <w:p w14:paraId="1D9EAAA2" w14:textId="6B04C41E" w:rsidR="003E4CBD" w:rsidRDefault="003E4CBD" w:rsidP="004D2453">
      <w:pPr>
        <w:spacing w:line="220" w:lineRule="exact"/>
        <w:rPr>
          <w:rFonts w:ascii="Verdana" w:hAnsi="Verdana"/>
          <w:sz w:val="20"/>
          <w:szCs w:val="20"/>
        </w:rPr>
      </w:pPr>
    </w:p>
    <w:p w14:paraId="30E4A6BD" w14:textId="40980818" w:rsidR="003E4CBD" w:rsidRDefault="003E4CBD" w:rsidP="000665FC">
      <w:pPr>
        <w:spacing w:line="220" w:lineRule="exact"/>
        <w:jc w:val="both"/>
        <w:rPr>
          <w:rFonts w:ascii="Verdana" w:hAnsi="Verdana"/>
          <w:sz w:val="20"/>
          <w:szCs w:val="20"/>
        </w:rPr>
      </w:pPr>
      <w:r w:rsidRPr="003E4CBD">
        <w:rPr>
          <w:rFonts w:ascii="Verdana" w:hAnsi="Verdana"/>
          <w:b/>
          <w:bCs/>
          <w:sz w:val="20"/>
          <w:szCs w:val="20"/>
        </w:rPr>
        <w:t xml:space="preserve">Aumenti </w:t>
      </w:r>
      <w:r>
        <w:rPr>
          <w:rFonts w:ascii="Verdana" w:hAnsi="Verdana"/>
          <w:b/>
          <w:bCs/>
          <w:sz w:val="20"/>
          <w:szCs w:val="20"/>
        </w:rPr>
        <w:t>–</w:t>
      </w:r>
      <w:r w:rsidRPr="003E4CBD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L’aumento medio mensile sui minimi tabellari di 90 euro lordi, calcolato sul livello 3° Super personale non viaggiante e sul livello B3 personale viaggiante, </w:t>
      </w:r>
      <w:r w:rsidR="00463FA1">
        <w:rPr>
          <w:rFonts w:ascii="Verdana" w:hAnsi="Verdana"/>
          <w:sz w:val="20"/>
          <w:szCs w:val="20"/>
        </w:rPr>
        <w:t>sarà corrisposto</w:t>
      </w:r>
      <w:r>
        <w:rPr>
          <w:rFonts w:ascii="Verdana" w:hAnsi="Verdana"/>
          <w:sz w:val="20"/>
          <w:szCs w:val="20"/>
        </w:rPr>
        <w:t xml:space="preserve"> in 4 rate aventi le seguenti decorrenze:</w:t>
      </w:r>
    </w:p>
    <w:p w14:paraId="27098183" w14:textId="77777777" w:rsidR="003E4CBD" w:rsidRDefault="003E4CBD" w:rsidP="003E4CBD">
      <w:pPr>
        <w:spacing w:line="100" w:lineRule="exact"/>
        <w:rPr>
          <w:rFonts w:ascii="Verdana" w:hAnsi="Verdana"/>
          <w:sz w:val="20"/>
          <w:szCs w:val="20"/>
        </w:rPr>
      </w:pPr>
    </w:p>
    <w:p w14:paraId="60F452BB" w14:textId="7DB2E1A2" w:rsidR="003E4CBD" w:rsidRDefault="003E4CBD" w:rsidP="003E4CBD">
      <w:pPr>
        <w:pStyle w:val="Paragrafoelenco"/>
        <w:numPr>
          <w:ilvl w:val="0"/>
          <w:numId w:val="2"/>
        </w:numPr>
        <w:spacing w:line="220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 euro da ottobre 2021</w:t>
      </w:r>
    </w:p>
    <w:p w14:paraId="52870E9E" w14:textId="2BD3E216" w:rsidR="003E4CBD" w:rsidRDefault="003E4CBD" w:rsidP="003E4CBD">
      <w:pPr>
        <w:pStyle w:val="Paragrafoelenco"/>
        <w:numPr>
          <w:ilvl w:val="0"/>
          <w:numId w:val="2"/>
        </w:numPr>
        <w:spacing w:line="220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euro da ottobre 2022</w:t>
      </w:r>
    </w:p>
    <w:p w14:paraId="7A952035" w14:textId="5FD56C2F" w:rsidR="003E4CBD" w:rsidRDefault="003E4CBD" w:rsidP="003E4CBD">
      <w:pPr>
        <w:pStyle w:val="Paragrafoelenco"/>
        <w:numPr>
          <w:ilvl w:val="0"/>
          <w:numId w:val="2"/>
        </w:numPr>
        <w:spacing w:line="220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 euro da ottobre 2023</w:t>
      </w:r>
    </w:p>
    <w:p w14:paraId="19A437EB" w14:textId="3FA97E6C" w:rsidR="003E4CBD" w:rsidRDefault="003E4CBD" w:rsidP="003E4CBD">
      <w:pPr>
        <w:pStyle w:val="Paragrafoelenco"/>
        <w:numPr>
          <w:ilvl w:val="0"/>
          <w:numId w:val="2"/>
        </w:numPr>
        <w:spacing w:line="220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30 euro da </w:t>
      </w:r>
      <w:r w:rsidR="00811003">
        <w:rPr>
          <w:rFonts w:ascii="Verdana" w:hAnsi="Verdana"/>
          <w:sz w:val="20"/>
          <w:szCs w:val="20"/>
        </w:rPr>
        <w:t>marzo</w:t>
      </w:r>
      <w:r>
        <w:rPr>
          <w:rFonts w:ascii="Verdana" w:hAnsi="Verdana"/>
          <w:sz w:val="20"/>
          <w:szCs w:val="20"/>
        </w:rPr>
        <w:t xml:space="preserve"> 2024.</w:t>
      </w:r>
    </w:p>
    <w:p w14:paraId="6A20D971" w14:textId="33487F4C" w:rsidR="003E4CBD" w:rsidRDefault="003E4CBD" w:rsidP="003E4CBD">
      <w:pPr>
        <w:spacing w:line="220" w:lineRule="exact"/>
        <w:rPr>
          <w:rFonts w:ascii="Verdana" w:hAnsi="Verdana"/>
          <w:sz w:val="20"/>
          <w:szCs w:val="20"/>
        </w:rPr>
      </w:pPr>
    </w:p>
    <w:p w14:paraId="7F485DF9" w14:textId="1786EFE1" w:rsidR="003E4CBD" w:rsidRPr="003E4CBD" w:rsidRDefault="003E4CBD" w:rsidP="0036685B">
      <w:pPr>
        <w:spacing w:line="220" w:lineRule="exact"/>
        <w:jc w:val="both"/>
        <w:rPr>
          <w:rFonts w:ascii="Verdana" w:hAnsi="Verdana"/>
          <w:sz w:val="20"/>
          <w:szCs w:val="20"/>
        </w:rPr>
      </w:pPr>
      <w:r w:rsidRPr="003E4CBD">
        <w:rPr>
          <w:rFonts w:ascii="Verdana" w:hAnsi="Verdana"/>
          <w:b/>
          <w:bCs/>
          <w:sz w:val="20"/>
          <w:szCs w:val="20"/>
        </w:rPr>
        <w:t xml:space="preserve">EDR </w:t>
      </w:r>
      <w:r>
        <w:rPr>
          <w:rFonts w:ascii="Verdana" w:hAnsi="Verdana"/>
          <w:b/>
          <w:bCs/>
          <w:sz w:val="20"/>
          <w:szCs w:val="20"/>
        </w:rPr>
        <w:t>–</w:t>
      </w:r>
      <w:r w:rsidRPr="003E4CBD">
        <w:rPr>
          <w:rFonts w:ascii="Verdana" w:hAnsi="Verdana"/>
          <w:b/>
          <w:bCs/>
          <w:sz w:val="20"/>
          <w:szCs w:val="20"/>
        </w:rPr>
        <w:t xml:space="preserve"> </w:t>
      </w:r>
      <w:r w:rsidRPr="003E4CBD">
        <w:rPr>
          <w:rFonts w:ascii="Verdana" w:hAnsi="Verdana"/>
          <w:sz w:val="20"/>
          <w:szCs w:val="20"/>
        </w:rPr>
        <w:t>L’EDR</w:t>
      </w:r>
      <w:r>
        <w:rPr>
          <w:rFonts w:ascii="Verdana" w:hAnsi="Verdana"/>
          <w:sz w:val="20"/>
          <w:szCs w:val="20"/>
        </w:rPr>
        <w:t xml:space="preserve"> di 10 euro mensili lordi, </w:t>
      </w:r>
      <w:r w:rsidR="0036685B">
        <w:rPr>
          <w:rFonts w:ascii="Verdana" w:hAnsi="Verdana"/>
          <w:sz w:val="20"/>
          <w:szCs w:val="20"/>
        </w:rPr>
        <w:t>anch’esso da riparametrare, sarà erogato da gennaio 2022 per 13 mensilità, dovrà essere considerato ai fini del TFR ma non avrà incidenza su alcun istituto</w:t>
      </w:r>
      <w:r w:rsidR="00811003">
        <w:rPr>
          <w:rFonts w:ascii="Verdana" w:hAnsi="Verdana"/>
          <w:sz w:val="20"/>
          <w:szCs w:val="20"/>
        </w:rPr>
        <w:t xml:space="preserve"> contrattuale</w:t>
      </w:r>
      <w:r w:rsidR="0036685B">
        <w:rPr>
          <w:rFonts w:ascii="Verdana" w:hAnsi="Verdana"/>
          <w:sz w:val="20"/>
          <w:szCs w:val="20"/>
        </w:rPr>
        <w:t>.</w:t>
      </w:r>
    </w:p>
    <w:p w14:paraId="7D9C4BBB" w14:textId="31692DDE" w:rsidR="00B03EBE" w:rsidRDefault="00B03EBE" w:rsidP="0036685B">
      <w:pPr>
        <w:spacing w:line="220" w:lineRule="exact"/>
        <w:jc w:val="both"/>
        <w:rPr>
          <w:rFonts w:ascii="Verdana" w:hAnsi="Verdana"/>
          <w:sz w:val="20"/>
          <w:szCs w:val="20"/>
        </w:rPr>
      </w:pPr>
    </w:p>
    <w:p w14:paraId="2B1175B1" w14:textId="54C58A0C" w:rsidR="00B03EBE" w:rsidRDefault="0036685B" w:rsidP="0036685B">
      <w:pPr>
        <w:spacing w:line="220" w:lineRule="exact"/>
        <w:jc w:val="both"/>
        <w:rPr>
          <w:rFonts w:ascii="Verdana" w:hAnsi="Verdana"/>
          <w:sz w:val="20"/>
          <w:szCs w:val="20"/>
        </w:rPr>
      </w:pPr>
      <w:r w:rsidRPr="0036685B">
        <w:rPr>
          <w:rFonts w:ascii="Verdana" w:hAnsi="Verdana"/>
          <w:b/>
          <w:bCs/>
          <w:sz w:val="20"/>
          <w:szCs w:val="20"/>
        </w:rPr>
        <w:t>Bilateralità –</w:t>
      </w:r>
      <w:r>
        <w:rPr>
          <w:rFonts w:ascii="Verdana" w:hAnsi="Verdana"/>
          <w:sz w:val="20"/>
          <w:szCs w:val="20"/>
        </w:rPr>
        <w:t xml:space="preserve"> I 4 euro mensili per la bilateralità saranno erogati da gennaio 2022 e saranno destinati ad alimentare le quote aziendali per Sanilog (2,5 euro) e per Ebilog (1,5 euro).</w:t>
      </w:r>
    </w:p>
    <w:p w14:paraId="394DD889" w14:textId="7A78C201" w:rsidR="0036685B" w:rsidRDefault="0036685B" w:rsidP="0036685B">
      <w:pPr>
        <w:spacing w:line="220" w:lineRule="exact"/>
        <w:jc w:val="both"/>
        <w:rPr>
          <w:rFonts w:ascii="Verdana" w:hAnsi="Verdana"/>
          <w:sz w:val="20"/>
          <w:szCs w:val="20"/>
        </w:rPr>
      </w:pPr>
    </w:p>
    <w:p w14:paraId="05B79016" w14:textId="4B7C7215" w:rsidR="0036685B" w:rsidRDefault="0036685B" w:rsidP="00D33FCE">
      <w:pPr>
        <w:spacing w:line="220" w:lineRule="exact"/>
        <w:jc w:val="both"/>
        <w:rPr>
          <w:rFonts w:ascii="Verdana" w:hAnsi="Verdana"/>
          <w:sz w:val="20"/>
          <w:szCs w:val="20"/>
        </w:rPr>
      </w:pPr>
      <w:r w:rsidRPr="0036685B">
        <w:rPr>
          <w:rFonts w:ascii="Verdana" w:hAnsi="Verdana"/>
          <w:b/>
          <w:bCs/>
          <w:sz w:val="20"/>
          <w:szCs w:val="20"/>
        </w:rPr>
        <w:t>Una tantum –</w:t>
      </w:r>
      <w:r>
        <w:rPr>
          <w:rFonts w:ascii="Verdana" w:hAnsi="Verdana"/>
          <w:sz w:val="20"/>
          <w:szCs w:val="20"/>
        </w:rPr>
        <w:t xml:space="preserve"> L’una tantum di 230 euro dovrà essere riconosciuta ai soli lavoratori in servizio al 18 maggio 2021 e sarà corrisposta in 3 rate, di cui la prima di 100 euro entro il prossimo mese di luglio, la seconda di 50 euro con la retribuzione di ottobre 2021 e la terza di 80 euro con la retribuzione di aprile 2022.</w:t>
      </w:r>
    </w:p>
    <w:p w14:paraId="4009A857" w14:textId="654D7746" w:rsidR="0036685B" w:rsidRDefault="00D33FCE" w:rsidP="00D33FCE">
      <w:pPr>
        <w:spacing w:line="2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L’una tantum sarà proporzionalmente ridotta per i lavoratori part-time e per quelli assunti durante il periodo interessato e non dovrà essere considerata ai fini del TFR e dei vari istituti contrattuali.</w:t>
      </w:r>
    </w:p>
    <w:p w14:paraId="3839FCC2" w14:textId="77777777" w:rsidR="00577895" w:rsidRPr="00863217" w:rsidRDefault="00577895" w:rsidP="004D2453">
      <w:pPr>
        <w:spacing w:line="220" w:lineRule="exact"/>
        <w:rPr>
          <w:rFonts w:ascii="Verdana" w:hAnsi="Verdan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527"/>
      </w:tblGrid>
      <w:tr w:rsidR="001E5B80" w14:paraId="583FC450" w14:textId="77777777" w:rsidTr="004C24E9">
        <w:tc>
          <w:tcPr>
            <w:tcW w:w="2977" w:type="dxa"/>
          </w:tcPr>
          <w:p w14:paraId="238B0B0B" w14:textId="77777777" w:rsidR="001E5B80" w:rsidRDefault="001B4D62" w:rsidP="00FA6CCE">
            <w:pPr>
              <w:widowControl w:val="0"/>
              <w:spacing w:line="200" w:lineRule="exact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Fabio Marrocco</w:t>
            </w:r>
          </w:p>
        </w:tc>
        <w:tc>
          <w:tcPr>
            <w:tcW w:w="5527" w:type="dxa"/>
            <w:vAlign w:val="center"/>
          </w:tcPr>
          <w:p w14:paraId="28336F40" w14:textId="6E6856D0" w:rsidR="001E5B80" w:rsidRPr="005433D1" w:rsidRDefault="001E5B80" w:rsidP="00B03EBE">
            <w:pPr>
              <w:pStyle w:val="CircolareAllegato"/>
              <w:jc w:val="left"/>
            </w:pPr>
            <w:r w:rsidRPr="005433D1">
              <w:t>Per riferimenti confronta circ.r</w:t>
            </w:r>
            <w:r w:rsidR="00A70D16">
              <w:t>i</w:t>
            </w:r>
            <w:r w:rsidRPr="005433D1">
              <w:t xml:space="preserve"> conf.l</w:t>
            </w:r>
            <w:r w:rsidR="00A70D16">
              <w:t>i</w:t>
            </w:r>
            <w:r w:rsidRPr="005433D1">
              <w:t xml:space="preserve"> </w:t>
            </w:r>
            <w:r w:rsidR="004C24E9">
              <w:t xml:space="preserve">nn. </w:t>
            </w:r>
            <w:r w:rsidR="00D33FCE">
              <w:t>116/2021 e 382/2020</w:t>
            </w:r>
          </w:p>
        </w:tc>
      </w:tr>
      <w:tr w:rsidR="001E5B80" w14:paraId="1D77F8A9" w14:textId="77777777" w:rsidTr="004C24E9">
        <w:tc>
          <w:tcPr>
            <w:tcW w:w="2977" w:type="dxa"/>
          </w:tcPr>
          <w:p w14:paraId="215B17A4" w14:textId="77777777" w:rsidR="001E5B80" w:rsidRPr="001B4D62" w:rsidRDefault="002D5DA2" w:rsidP="00FA6CCE">
            <w:pPr>
              <w:widowControl w:val="0"/>
              <w:spacing w:line="200" w:lineRule="exact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Codirettore</w:t>
            </w:r>
          </w:p>
        </w:tc>
        <w:tc>
          <w:tcPr>
            <w:tcW w:w="5527" w:type="dxa"/>
            <w:vAlign w:val="center"/>
          </w:tcPr>
          <w:p w14:paraId="3EA6BB9B" w14:textId="0141E4BA" w:rsidR="001E5B80" w:rsidRDefault="00463FA1" w:rsidP="00FA6CCE">
            <w:pPr>
              <w:widowControl w:val="0"/>
              <w:spacing w:line="200" w:lineRule="exact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Allegato uno</w:t>
            </w:r>
          </w:p>
        </w:tc>
      </w:tr>
      <w:tr w:rsidR="001E5B80" w14:paraId="3E911EF5" w14:textId="77777777" w:rsidTr="004C24E9">
        <w:tc>
          <w:tcPr>
            <w:tcW w:w="2977" w:type="dxa"/>
          </w:tcPr>
          <w:p w14:paraId="1E8B2C96" w14:textId="77777777" w:rsidR="001E5B80" w:rsidRDefault="001E5B80" w:rsidP="00FA6CCE">
            <w:pPr>
              <w:widowControl w:val="0"/>
              <w:spacing w:line="20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527" w:type="dxa"/>
            <w:vAlign w:val="center"/>
          </w:tcPr>
          <w:p w14:paraId="5C3A2B04" w14:textId="4F9D2EDF" w:rsidR="001E5B80" w:rsidRDefault="00463FA1" w:rsidP="00A40325">
            <w:pPr>
              <w:widowControl w:val="0"/>
              <w:spacing w:line="200" w:lineRule="exact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M/t</w:t>
            </w:r>
          </w:p>
        </w:tc>
      </w:tr>
      <w:tr w:rsidR="001E5B80" w14:paraId="79AE3048" w14:textId="77777777" w:rsidTr="00D33FCE">
        <w:trPr>
          <w:cantSplit/>
        </w:trPr>
        <w:tc>
          <w:tcPr>
            <w:tcW w:w="8504" w:type="dxa"/>
            <w:gridSpan w:val="2"/>
          </w:tcPr>
          <w:p w14:paraId="605D630F" w14:textId="77777777" w:rsidR="001E5B80" w:rsidRDefault="001E5B80" w:rsidP="00FA6CCE">
            <w:pPr>
              <w:widowControl w:val="0"/>
              <w:spacing w:line="200" w:lineRule="exact"/>
              <w:jc w:val="both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© CONFETRA – La riproduzione totale o parziale è consentita esclusivamente alle organizzazioni aderenti alla Confetra.</w:t>
            </w:r>
          </w:p>
        </w:tc>
      </w:tr>
    </w:tbl>
    <w:p w14:paraId="2A7F2156" w14:textId="0320692D" w:rsidR="007D5AC7" w:rsidRPr="00577895" w:rsidRDefault="007D5AC7" w:rsidP="00577895">
      <w:pPr>
        <w:spacing w:line="190" w:lineRule="exact"/>
        <w:rPr>
          <w:rFonts w:ascii="Courier New" w:hAnsi="Courier New" w:cs="Courier New"/>
          <w:bCs/>
          <w:i/>
          <w:sz w:val="19"/>
          <w:szCs w:val="19"/>
        </w:rPr>
      </w:pPr>
    </w:p>
    <w:sectPr w:rsidR="007D5AC7" w:rsidRPr="00577895" w:rsidSect="0057789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3A13" w14:textId="77777777" w:rsidR="00782128" w:rsidRDefault="00782128">
      <w:r>
        <w:separator/>
      </w:r>
    </w:p>
  </w:endnote>
  <w:endnote w:type="continuationSeparator" w:id="0">
    <w:p w14:paraId="4200D7C9" w14:textId="77777777" w:rsidR="00782128" w:rsidRDefault="007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BBFA" w14:textId="02935113" w:rsidR="009730A8" w:rsidRPr="00574832" w:rsidRDefault="009730A8" w:rsidP="00F547DE">
    <w:pPr>
      <w:pStyle w:val="Pidipagina"/>
      <w:framePr w:wrap="around" w:vAnchor="text" w:hAnchor="page" w:x="1791" w:y="78"/>
      <w:rPr>
        <w:rStyle w:val="Numeropagina"/>
        <w:rFonts w:ascii="Verdana" w:hAnsi="Verdana"/>
        <w:sz w:val="20"/>
        <w:szCs w:val="20"/>
      </w:rPr>
    </w:pPr>
    <w:r w:rsidRPr="00574832">
      <w:rPr>
        <w:rStyle w:val="Numeropagina"/>
        <w:rFonts w:ascii="Verdana" w:hAnsi="Verdana"/>
        <w:sz w:val="20"/>
        <w:szCs w:val="20"/>
      </w:rPr>
      <w:fldChar w:fldCharType="begin"/>
    </w:r>
    <w:r w:rsidRPr="00574832">
      <w:rPr>
        <w:rStyle w:val="Numeropagina"/>
        <w:rFonts w:ascii="Verdana" w:hAnsi="Verdana"/>
        <w:sz w:val="20"/>
        <w:szCs w:val="20"/>
      </w:rPr>
      <w:instrText xml:space="preserve">PAGE  </w:instrText>
    </w:r>
    <w:r w:rsidRPr="00574832">
      <w:rPr>
        <w:rStyle w:val="Numeropagina"/>
        <w:rFonts w:ascii="Verdana" w:hAnsi="Verdana"/>
        <w:sz w:val="20"/>
        <w:szCs w:val="20"/>
      </w:rPr>
      <w:fldChar w:fldCharType="separate"/>
    </w:r>
    <w:r w:rsidR="00574832" w:rsidRPr="00574832">
      <w:rPr>
        <w:rStyle w:val="Numeropagina"/>
        <w:rFonts w:ascii="Verdana" w:hAnsi="Verdana"/>
        <w:noProof/>
        <w:sz w:val="20"/>
        <w:szCs w:val="20"/>
      </w:rPr>
      <w:t>2</w:t>
    </w:r>
    <w:r w:rsidRPr="00574832">
      <w:rPr>
        <w:rStyle w:val="Numeropagina"/>
        <w:rFonts w:ascii="Verdana" w:hAnsi="Verdana"/>
        <w:sz w:val="20"/>
        <w:szCs w:val="20"/>
      </w:rPr>
      <w:fldChar w:fldCharType="end"/>
    </w:r>
  </w:p>
  <w:p w14:paraId="1B382A3B" w14:textId="77777777" w:rsidR="009730A8" w:rsidRDefault="009730A8" w:rsidP="008C4C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00D6" w14:textId="1FA9A80F" w:rsidR="009730A8" w:rsidRPr="008C4C47" w:rsidRDefault="009730A8" w:rsidP="00574832">
    <w:pPr>
      <w:pStyle w:val="Pidipagina"/>
      <w:framePr w:wrap="around" w:vAnchor="text" w:hAnchor="page" w:x="9671" w:y="68"/>
      <w:rPr>
        <w:rStyle w:val="Numeropagina"/>
        <w:rFonts w:ascii="Verdana" w:hAnsi="Verdana"/>
        <w:sz w:val="20"/>
        <w:szCs w:val="20"/>
      </w:rPr>
    </w:pPr>
    <w:r w:rsidRPr="008C4C47">
      <w:rPr>
        <w:rStyle w:val="Numeropagina"/>
        <w:rFonts w:ascii="Verdana" w:hAnsi="Verdana"/>
        <w:sz w:val="20"/>
        <w:szCs w:val="20"/>
      </w:rPr>
      <w:fldChar w:fldCharType="begin"/>
    </w:r>
    <w:r w:rsidRPr="008C4C47">
      <w:rPr>
        <w:rStyle w:val="Numeropagina"/>
        <w:rFonts w:ascii="Verdana" w:hAnsi="Verdana"/>
        <w:sz w:val="20"/>
        <w:szCs w:val="20"/>
      </w:rPr>
      <w:instrText xml:space="preserve">PAGE  </w:instrText>
    </w:r>
    <w:r w:rsidRPr="008C4C47">
      <w:rPr>
        <w:rStyle w:val="Numeropagina"/>
        <w:rFonts w:ascii="Verdana" w:hAnsi="Verdana"/>
        <w:sz w:val="20"/>
        <w:szCs w:val="20"/>
      </w:rPr>
      <w:fldChar w:fldCharType="separate"/>
    </w:r>
    <w:r w:rsidR="002F50D0">
      <w:rPr>
        <w:rStyle w:val="Numeropagina"/>
        <w:rFonts w:ascii="Verdana" w:hAnsi="Verdana"/>
        <w:noProof/>
        <w:sz w:val="20"/>
        <w:szCs w:val="20"/>
      </w:rPr>
      <w:t>1</w:t>
    </w:r>
    <w:r w:rsidRPr="008C4C47">
      <w:rPr>
        <w:rStyle w:val="Numeropagina"/>
        <w:rFonts w:ascii="Verdana" w:hAnsi="Verdana"/>
        <w:sz w:val="20"/>
        <w:szCs w:val="20"/>
      </w:rPr>
      <w:fldChar w:fldCharType="end"/>
    </w:r>
  </w:p>
  <w:p w14:paraId="050BE7EA" w14:textId="77777777" w:rsidR="009730A8" w:rsidRDefault="009730A8" w:rsidP="008C4C4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2019" w14:textId="589A2C27" w:rsidR="00574832" w:rsidRPr="00574832" w:rsidRDefault="00574832" w:rsidP="00574832">
    <w:pPr>
      <w:pStyle w:val="Pidipagina"/>
      <w:jc w:val="right"/>
      <w:rPr>
        <w:rFonts w:ascii="Verdana" w:hAnsi="Verdana"/>
        <w:sz w:val="20"/>
        <w:szCs w:val="20"/>
      </w:rPr>
    </w:pPr>
    <w:r w:rsidRPr="00574832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5CCA" w14:textId="77777777" w:rsidR="00782128" w:rsidRDefault="00782128">
      <w:r>
        <w:separator/>
      </w:r>
    </w:p>
  </w:footnote>
  <w:footnote w:type="continuationSeparator" w:id="0">
    <w:p w14:paraId="3EF5C6A1" w14:textId="77777777" w:rsidR="00782128" w:rsidRDefault="0078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ABF6" w14:textId="21661B52" w:rsidR="00577895" w:rsidRDefault="005778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62DD9"/>
    <w:multiLevelType w:val="hybridMultilevel"/>
    <w:tmpl w:val="147AE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34357"/>
    <w:multiLevelType w:val="hybridMultilevel"/>
    <w:tmpl w:val="518AA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80"/>
    <w:rsid w:val="00011C37"/>
    <w:rsid w:val="000177F3"/>
    <w:rsid w:val="00020C6F"/>
    <w:rsid w:val="00031A89"/>
    <w:rsid w:val="000336F7"/>
    <w:rsid w:val="00041D58"/>
    <w:rsid w:val="000450F9"/>
    <w:rsid w:val="00046E8A"/>
    <w:rsid w:val="00053148"/>
    <w:rsid w:val="0005747F"/>
    <w:rsid w:val="00062E0D"/>
    <w:rsid w:val="000665FC"/>
    <w:rsid w:val="000A13C9"/>
    <w:rsid w:val="000B0D7F"/>
    <w:rsid w:val="000B3BB5"/>
    <w:rsid w:val="000C052E"/>
    <w:rsid w:val="000D1061"/>
    <w:rsid w:val="000E35CF"/>
    <w:rsid w:val="000E4D44"/>
    <w:rsid w:val="000F6E7B"/>
    <w:rsid w:val="0011706C"/>
    <w:rsid w:val="00121753"/>
    <w:rsid w:val="0012271C"/>
    <w:rsid w:val="00134CF0"/>
    <w:rsid w:val="00147C0C"/>
    <w:rsid w:val="001723B3"/>
    <w:rsid w:val="00186AD5"/>
    <w:rsid w:val="00194E44"/>
    <w:rsid w:val="001B4D62"/>
    <w:rsid w:val="001D26C4"/>
    <w:rsid w:val="001D793C"/>
    <w:rsid w:val="001E5B80"/>
    <w:rsid w:val="002366C9"/>
    <w:rsid w:val="002757D6"/>
    <w:rsid w:val="00292531"/>
    <w:rsid w:val="00292E4F"/>
    <w:rsid w:val="002D5DA2"/>
    <w:rsid w:val="002E66EF"/>
    <w:rsid w:val="002F50D0"/>
    <w:rsid w:val="00304175"/>
    <w:rsid w:val="003247B9"/>
    <w:rsid w:val="00357291"/>
    <w:rsid w:val="0036685B"/>
    <w:rsid w:val="00383E7C"/>
    <w:rsid w:val="00391153"/>
    <w:rsid w:val="003971DB"/>
    <w:rsid w:val="003B25C3"/>
    <w:rsid w:val="003C0B45"/>
    <w:rsid w:val="003C462D"/>
    <w:rsid w:val="003E4CBD"/>
    <w:rsid w:val="003E753B"/>
    <w:rsid w:val="003F4BDE"/>
    <w:rsid w:val="00400DEE"/>
    <w:rsid w:val="0040188D"/>
    <w:rsid w:val="00412AFA"/>
    <w:rsid w:val="00455B41"/>
    <w:rsid w:val="00463FA1"/>
    <w:rsid w:val="00464DE5"/>
    <w:rsid w:val="004875CC"/>
    <w:rsid w:val="00492359"/>
    <w:rsid w:val="0049654D"/>
    <w:rsid w:val="004B13E9"/>
    <w:rsid w:val="004B4426"/>
    <w:rsid w:val="004C24E9"/>
    <w:rsid w:val="004D2453"/>
    <w:rsid w:val="004D6FCF"/>
    <w:rsid w:val="004F01B0"/>
    <w:rsid w:val="004F4B00"/>
    <w:rsid w:val="00512AFB"/>
    <w:rsid w:val="005342EE"/>
    <w:rsid w:val="00544FE8"/>
    <w:rsid w:val="005453E5"/>
    <w:rsid w:val="00551E4B"/>
    <w:rsid w:val="00574832"/>
    <w:rsid w:val="00577895"/>
    <w:rsid w:val="005A539B"/>
    <w:rsid w:val="005A6B26"/>
    <w:rsid w:val="005B0500"/>
    <w:rsid w:val="005F241A"/>
    <w:rsid w:val="006567C6"/>
    <w:rsid w:val="00656836"/>
    <w:rsid w:val="00676A0C"/>
    <w:rsid w:val="00684E92"/>
    <w:rsid w:val="006B3F61"/>
    <w:rsid w:val="006C1B79"/>
    <w:rsid w:val="006C7CCE"/>
    <w:rsid w:val="00707AC3"/>
    <w:rsid w:val="00717293"/>
    <w:rsid w:val="00717BFF"/>
    <w:rsid w:val="00732507"/>
    <w:rsid w:val="00732F65"/>
    <w:rsid w:val="00742529"/>
    <w:rsid w:val="0076448B"/>
    <w:rsid w:val="00781F51"/>
    <w:rsid w:val="00782128"/>
    <w:rsid w:val="00787D27"/>
    <w:rsid w:val="007B643F"/>
    <w:rsid w:val="007C0048"/>
    <w:rsid w:val="007C6A4E"/>
    <w:rsid w:val="007D5AC7"/>
    <w:rsid w:val="007D73CB"/>
    <w:rsid w:val="007E1CFA"/>
    <w:rsid w:val="007F536D"/>
    <w:rsid w:val="008060AF"/>
    <w:rsid w:val="00810FB7"/>
    <w:rsid w:val="00811003"/>
    <w:rsid w:val="00863217"/>
    <w:rsid w:val="008759EE"/>
    <w:rsid w:val="008B3DB4"/>
    <w:rsid w:val="008C4C47"/>
    <w:rsid w:val="008E1FB5"/>
    <w:rsid w:val="008E3557"/>
    <w:rsid w:val="008E3822"/>
    <w:rsid w:val="0090586F"/>
    <w:rsid w:val="00911C5D"/>
    <w:rsid w:val="0092772B"/>
    <w:rsid w:val="00942403"/>
    <w:rsid w:val="009530AC"/>
    <w:rsid w:val="00956EB5"/>
    <w:rsid w:val="00961241"/>
    <w:rsid w:val="009730A8"/>
    <w:rsid w:val="0098116F"/>
    <w:rsid w:val="00995E42"/>
    <w:rsid w:val="009F4A11"/>
    <w:rsid w:val="00A04221"/>
    <w:rsid w:val="00A35A67"/>
    <w:rsid w:val="00A40325"/>
    <w:rsid w:val="00A44534"/>
    <w:rsid w:val="00A53A7D"/>
    <w:rsid w:val="00A70D16"/>
    <w:rsid w:val="00A7378C"/>
    <w:rsid w:val="00A7472A"/>
    <w:rsid w:val="00AB0141"/>
    <w:rsid w:val="00AE7D5A"/>
    <w:rsid w:val="00B03EBE"/>
    <w:rsid w:val="00B526D1"/>
    <w:rsid w:val="00B648EA"/>
    <w:rsid w:val="00B76162"/>
    <w:rsid w:val="00B84C0C"/>
    <w:rsid w:val="00B977FA"/>
    <w:rsid w:val="00BC0FF1"/>
    <w:rsid w:val="00BD558F"/>
    <w:rsid w:val="00BD7797"/>
    <w:rsid w:val="00BE3DDE"/>
    <w:rsid w:val="00C2138A"/>
    <w:rsid w:val="00C348C1"/>
    <w:rsid w:val="00C36537"/>
    <w:rsid w:val="00C772A3"/>
    <w:rsid w:val="00C80BD0"/>
    <w:rsid w:val="00C96884"/>
    <w:rsid w:val="00CA6205"/>
    <w:rsid w:val="00CB697A"/>
    <w:rsid w:val="00CC41FB"/>
    <w:rsid w:val="00CD2136"/>
    <w:rsid w:val="00CD3FED"/>
    <w:rsid w:val="00CD4EF5"/>
    <w:rsid w:val="00CD6E73"/>
    <w:rsid w:val="00CE50D9"/>
    <w:rsid w:val="00CF340E"/>
    <w:rsid w:val="00D07554"/>
    <w:rsid w:val="00D22FA1"/>
    <w:rsid w:val="00D32DB1"/>
    <w:rsid w:val="00D33FCE"/>
    <w:rsid w:val="00D551F5"/>
    <w:rsid w:val="00D80DF3"/>
    <w:rsid w:val="00D81EE5"/>
    <w:rsid w:val="00D8220B"/>
    <w:rsid w:val="00D942A3"/>
    <w:rsid w:val="00D96B10"/>
    <w:rsid w:val="00DC1CA4"/>
    <w:rsid w:val="00DC596F"/>
    <w:rsid w:val="00DD15AC"/>
    <w:rsid w:val="00DF3BC6"/>
    <w:rsid w:val="00DF5FE0"/>
    <w:rsid w:val="00E0287B"/>
    <w:rsid w:val="00E206E4"/>
    <w:rsid w:val="00E41074"/>
    <w:rsid w:val="00E41F58"/>
    <w:rsid w:val="00E426E8"/>
    <w:rsid w:val="00E449AC"/>
    <w:rsid w:val="00E55020"/>
    <w:rsid w:val="00EA1F9D"/>
    <w:rsid w:val="00EA3543"/>
    <w:rsid w:val="00EA5DE6"/>
    <w:rsid w:val="00EA7817"/>
    <w:rsid w:val="00EC141E"/>
    <w:rsid w:val="00ED1FC5"/>
    <w:rsid w:val="00EF1260"/>
    <w:rsid w:val="00EF1A33"/>
    <w:rsid w:val="00EF243D"/>
    <w:rsid w:val="00F25C2A"/>
    <w:rsid w:val="00F27D65"/>
    <w:rsid w:val="00F34520"/>
    <w:rsid w:val="00F43664"/>
    <w:rsid w:val="00F46C1B"/>
    <w:rsid w:val="00F547DE"/>
    <w:rsid w:val="00F66D95"/>
    <w:rsid w:val="00F71B6E"/>
    <w:rsid w:val="00F82072"/>
    <w:rsid w:val="00F9502A"/>
    <w:rsid w:val="00F95E75"/>
    <w:rsid w:val="00FA6CCE"/>
    <w:rsid w:val="00FB2D9C"/>
    <w:rsid w:val="00FB357F"/>
    <w:rsid w:val="00FC7223"/>
    <w:rsid w:val="00FE03DA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B2F5D42"/>
  <w15:docId w15:val="{A5EF44E4-C3D0-4EF1-ADA2-406AF9EC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6321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81F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863217"/>
    <w:pPr>
      <w:keepNext/>
      <w:spacing w:line="240" w:lineRule="atLeast"/>
      <w:jc w:val="center"/>
      <w:outlineLvl w:val="1"/>
    </w:pPr>
    <w:rPr>
      <w:rFonts w:ascii="Verdana" w:hAnsi="Verdana"/>
      <w:b/>
      <w:bCs/>
      <w:i/>
      <w:sz w:val="20"/>
      <w:szCs w:val="20"/>
    </w:rPr>
  </w:style>
  <w:style w:type="paragraph" w:styleId="Titolo8">
    <w:name w:val="heading 8"/>
    <w:basedOn w:val="Normale"/>
    <w:next w:val="Normale"/>
    <w:qFormat/>
    <w:rsid w:val="001E5B80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Tahoma" w:hAnsi="Tahoma" w:cs="Tahoma"/>
    </w:rPr>
  </w:style>
  <w:style w:type="character" w:styleId="Collegamentoipertestuale">
    <w:name w:val="Hyperlink"/>
    <w:rsid w:val="00863217"/>
    <w:rPr>
      <w:color w:val="0000FF"/>
      <w:u w:val="single"/>
    </w:rPr>
  </w:style>
  <w:style w:type="paragraph" w:customStyle="1" w:styleId="CircolareAllegato">
    <w:name w:val="Circolare Allegato"/>
    <w:basedOn w:val="Normale"/>
    <w:autoRedefine/>
    <w:rsid w:val="00863217"/>
    <w:pPr>
      <w:spacing w:line="160" w:lineRule="exact"/>
      <w:jc w:val="both"/>
    </w:pPr>
    <w:rPr>
      <w:rFonts w:ascii="Verdana" w:hAnsi="Verdana"/>
      <w:i/>
      <w:sz w:val="16"/>
    </w:rPr>
  </w:style>
  <w:style w:type="paragraph" w:styleId="Pidipagina">
    <w:name w:val="footer"/>
    <w:basedOn w:val="Normale"/>
    <w:rsid w:val="008C4C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4C47"/>
  </w:style>
  <w:style w:type="paragraph" w:styleId="Intestazione">
    <w:name w:val="header"/>
    <w:basedOn w:val="Normale"/>
    <w:rsid w:val="008C4C4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757D6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1E5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Iniziomodulo-z">
    <w:name w:val="HTML Top of Form"/>
    <w:basedOn w:val="Normale"/>
    <w:next w:val="Normale"/>
    <w:hidden/>
    <w:rsid w:val="009F4A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9F4A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itolo1Carattere">
    <w:name w:val="Titolo 1 Carattere"/>
    <w:link w:val="Titolo1"/>
    <w:rsid w:val="00781F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3F61"/>
    <w:rPr>
      <w:rFonts w:ascii="Courier New" w:hAnsi="Courier New" w:cs="Courier New"/>
    </w:rPr>
  </w:style>
  <w:style w:type="character" w:customStyle="1" w:styleId="riferimento">
    <w:name w:val="riferimento"/>
    <w:basedOn w:val="Carpredefinitoparagrafo"/>
    <w:rsid w:val="00F71B6E"/>
  </w:style>
  <w:style w:type="paragraph" w:styleId="Paragrafoelenco">
    <w:name w:val="List Paragraph"/>
    <w:basedOn w:val="Normale"/>
    <w:uiPriority w:val="34"/>
    <w:qFormat/>
    <w:rsid w:val="003E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66368375">
          <w:marLeft w:val="0"/>
          <w:marRight w:val="0"/>
          <w:marTop w:val="72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2\Dati%20applicazioni\Microsoft\Modelli\circolari%20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36BB-7C7C-4F5C-B018-B18FF332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circolari new</Template>
  <TotalTime>47</TotalTime>
  <Pages>1</Pages>
  <Words>450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Confetra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CONFETRA</dc:creator>
  <cp:keywords/>
  <cp:lastModifiedBy>Mar Tupini</cp:lastModifiedBy>
  <cp:revision>13</cp:revision>
  <cp:lastPrinted>2021-05-18T07:17:00Z</cp:lastPrinted>
  <dcterms:created xsi:type="dcterms:W3CDTF">2021-05-17T10:43:00Z</dcterms:created>
  <dcterms:modified xsi:type="dcterms:W3CDTF">2021-05-18T13:52:00Z</dcterms:modified>
</cp:coreProperties>
</file>